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430B9" w14:textId="77777777" w:rsidR="00F5335B" w:rsidRPr="00F5335B" w:rsidRDefault="00F5335B" w:rsidP="00F53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F5335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Terms of Reference (TOR)</w:t>
      </w:r>
    </w:p>
    <w:p w14:paraId="023DF9FC" w14:textId="77777777" w:rsidR="00F5335B" w:rsidRPr="00F5335B" w:rsidRDefault="00F5335B" w:rsidP="00F5335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5335B">
        <w:rPr>
          <w:rFonts w:ascii="Times New Roman" w:eastAsia="Times New Roman" w:hAnsi="Times New Roman" w:cs="Times New Roman"/>
          <w:b/>
          <w:bCs/>
          <w:sz w:val="28"/>
          <w:szCs w:val="28"/>
        </w:rPr>
        <w:t>Impact Assessment of SBI Sanjeevani Clinic on Wheels</w:t>
      </w:r>
    </w:p>
    <w:p w14:paraId="1EABE4AF" w14:textId="77777777" w:rsidR="00F5335B" w:rsidRPr="00F5335B" w:rsidRDefault="00F5335B" w:rsidP="00F533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35B">
        <w:rPr>
          <w:rFonts w:ascii="Times New Roman" w:eastAsia="Times New Roman" w:hAnsi="Times New Roman" w:cs="Times New Roman"/>
          <w:b/>
          <w:bCs/>
          <w:sz w:val="24"/>
          <w:szCs w:val="24"/>
        </w:rPr>
        <w:t>Baran District, Rajasthan</w:t>
      </w:r>
    </w:p>
    <w:p w14:paraId="4370C087" w14:textId="77777777" w:rsidR="00F5335B" w:rsidRPr="00F5335B" w:rsidRDefault="00F5335B" w:rsidP="00643EBC">
      <w:pPr>
        <w:shd w:val="clear" w:color="auto" w:fill="DBE5F1" w:themeFill="accent1" w:themeFillTint="33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F5335B">
        <w:rPr>
          <w:rFonts w:ascii="Times New Roman" w:eastAsia="Times New Roman" w:hAnsi="Times New Roman" w:cs="Times New Roman"/>
          <w:b/>
          <w:bCs/>
          <w:sz w:val="28"/>
          <w:szCs w:val="36"/>
        </w:rPr>
        <w:t>Background and Context</w:t>
      </w:r>
    </w:p>
    <w:p w14:paraId="5796D94D" w14:textId="77777777" w:rsidR="00643EBC" w:rsidRDefault="00F5335B" w:rsidP="00643EB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5335B">
        <w:rPr>
          <w:rFonts w:ascii="Times New Roman" w:eastAsia="Times New Roman" w:hAnsi="Times New Roman" w:cs="Times New Roman"/>
          <w:szCs w:val="24"/>
        </w:rPr>
        <w:t>Access to primary healthcare remains a persistent challenge in geographically remote and underserved regions of India, where physical distance, limited infrastructure, and socio-economic barriers constrain timely care-seeking.</w:t>
      </w:r>
      <w:r w:rsidRPr="00643EBC">
        <w:rPr>
          <w:rFonts w:ascii="Times New Roman" w:eastAsia="Times New Roman" w:hAnsi="Times New Roman" w:cs="Times New Roman"/>
          <w:szCs w:val="24"/>
        </w:rPr>
        <w:t xml:space="preserve"> </w:t>
      </w:r>
      <w:r w:rsidRPr="00F5335B">
        <w:rPr>
          <w:rFonts w:ascii="Times New Roman" w:eastAsia="Times New Roman" w:hAnsi="Times New Roman" w:cs="Times New Roman"/>
          <w:szCs w:val="24"/>
        </w:rPr>
        <w:t xml:space="preserve">The </w:t>
      </w:r>
      <w:r w:rsidRPr="00643EBC">
        <w:rPr>
          <w:rFonts w:ascii="Times New Roman" w:eastAsia="Times New Roman" w:hAnsi="Times New Roman" w:cs="Times New Roman"/>
          <w:i/>
          <w:iCs/>
          <w:szCs w:val="24"/>
        </w:rPr>
        <w:t>SBI Sanjeevani Clinic on Wheels</w:t>
      </w:r>
      <w:r w:rsidRPr="00F5335B">
        <w:rPr>
          <w:rFonts w:ascii="Times New Roman" w:eastAsia="Times New Roman" w:hAnsi="Times New Roman" w:cs="Times New Roman"/>
          <w:szCs w:val="24"/>
        </w:rPr>
        <w:t xml:space="preserve"> is a flagship mobile healthcare initiative implemented by People to People Health Foundation (PPHF), with support from SBI Foundation and SBI Cap Securities. The </w:t>
      </w:r>
      <w:proofErr w:type="spellStart"/>
      <w:r w:rsidRPr="00F5335B">
        <w:rPr>
          <w:rFonts w:ascii="Times New Roman" w:eastAsia="Times New Roman" w:hAnsi="Times New Roman" w:cs="Times New Roman"/>
          <w:szCs w:val="24"/>
        </w:rPr>
        <w:t>programme</w:t>
      </w:r>
      <w:proofErr w:type="spellEnd"/>
      <w:r w:rsidRPr="00F5335B">
        <w:rPr>
          <w:rFonts w:ascii="Times New Roman" w:eastAsia="Times New Roman" w:hAnsi="Times New Roman" w:cs="Times New Roman"/>
          <w:szCs w:val="24"/>
        </w:rPr>
        <w:t xml:space="preserve"> operates across 40 villages in Kishanganj and Shahabad blocks of Baran district, Rajasthan, delivering doorstep primary healthcare services through Mobile Medical Units (MMUs).</w:t>
      </w:r>
    </w:p>
    <w:p w14:paraId="511B4C24" w14:textId="77777777" w:rsidR="00F5335B" w:rsidRPr="00F5335B" w:rsidRDefault="00F5335B" w:rsidP="00643EB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5335B">
        <w:rPr>
          <w:rFonts w:ascii="Times New Roman" w:eastAsia="Times New Roman" w:hAnsi="Times New Roman" w:cs="Times New Roman"/>
          <w:szCs w:val="24"/>
        </w:rPr>
        <w:t>The intervention integrates:</w:t>
      </w:r>
    </w:p>
    <w:p w14:paraId="1F44F3DF" w14:textId="77777777" w:rsidR="00F5335B" w:rsidRPr="00F5335B" w:rsidRDefault="00F5335B" w:rsidP="00F5335B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5335B">
        <w:rPr>
          <w:rFonts w:ascii="Times New Roman" w:eastAsia="Times New Roman" w:hAnsi="Times New Roman" w:cs="Times New Roman"/>
          <w:szCs w:val="24"/>
        </w:rPr>
        <w:t>Mobile Outpatient Department (MOPD) services</w:t>
      </w:r>
    </w:p>
    <w:p w14:paraId="334C6FFB" w14:textId="77777777" w:rsidR="00F5335B" w:rsidRPr="00F5335B" w:rsidRDefault="00F5335B" w:rsidP="00F5335B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5335B">
        <w:rPr>
          <w:rFonts w:ascii="Times New Roman" w:eastAsia="Times New Roman" w:hAnsi="Times New Roman" w:cs="Times New Roman"/>
          <w:szCs w:val="24"/>
        </w:rPr>
        <w:t>Preventive and diagnostic screening</w:t>
      </w:r>
    </w:p>
    <w:p w14:paraId="1670ABFB" w14:textId="77777777" w:rsidR="00F5335B" w:rsidRPr="00F5335B" w:rsidRDefault="00F5335B" w:rsidP="00F5335B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5335B">
        <w:rPr>
          <w:rFonts w:ascii="Times New Roman" w:eastAsia="Times New Roman" w:hAnsi="Times New Roman" w:cs="Times New Roman"/>
          <w:szCs w:val="24"/>
        </w:rPr>
        <w:t>Referral linkages to higher facilities</w:t>
      </w:r>
    </w:p>
    <w:p w14:paraId="7B826DB5" w14:textId="77777777" w:rsidR="00F5335B" w:rsidRPr="00F5335B" w:rsidRDefault="00F5335B" w:rsidP="00F5335B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5335B">
        <w:rPr>
          <w:rFonts w:ascii="Times New Roman" w:eastAsia="Times New Roman" w:hAnsi="Times New Roman" w:cs="Times New Roman"/>
          <w:szCs w:val="24"/>
        </w:rPr>
        <w:t xml:space="preserve">Community awareness and </w:t>
      </w:r>
      <w:proofErr w:type="spellStart"/>
      <w:r w:rsidRPr="00F5335B">
        <w:rPr>
          <w:rFonts w:ascii="Times New Roman" w:eastAsia="Times New Roman" w:hAnsi="Times New Roman" w:cs="Times New Roman"/>
          <w:szCs w:val="24"/>
        </w:rPr>
        <w:t>behaviour</w:t>
      </w:r>
      <w:proofErr w:type="spellEnd"/>
      <w:r w:rsidRPr="00F5335B">
        <w:rPr>
          <w:rFonts w:ascii="Times New Roman" w:eastAsia="Times New Roman" w:hAnsi="Times New Roman" w:cs="Times New Roman"/>
          <w:szCs w:val="24"/>
        </w:rPr>
        <w:t xml:space="preserve"> change activities</w:t>
      </w:r>
    </w:p>
    <w:p w14:paraId="55B7BB6E" w14:textId="77777777" w:rsidR="00F5335B" w:rsidRPr="00F5335B" w:rsidRDefault="00F5335B" w:rsidP="00F5335B">
      <w:pPr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5335B">
        <w:rPr>
          <w:rFonts w:ascii="Times New Roman" w:eastAsia="Times New Roman" w:hAnsi="Times New Roman" w:cs="Times New Roman"/>
          <w:szCs w:val="24"/>
        </w:rPr>
        <w:t>Thematic health and Swachh Bharat camps</w:t>
      </w:r>
    </w:p>
    <w:p w14:paraId="049E3C69" w14:textId="77777777" w:rsidR="00F5335B" w:rsidRPr="00F5335B" w:rsidRDefault="00F5335B" w:rsidP="00F5335B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5335B">
        <w:rPr>
          <w:rFonts w:ascii="Times New Roman" w:eastAsia="Times New Roman" w:hAnsi="Times New Roman" w:cs="Times New Roman"/>
          <w:szCs w:val="24"/>
        </w:rPr>
        <w:t xml:space="preserve">The </w:t>
      </w:r>
      <w:proofErr w:type="spellStart"/>
      <w:r w:rsidRPr="00F5335B">
        <w:rPr>
          <w:rFonts w:ascii="Times New Roman" w:eastAsia="Times New Roman" w:hAnsi="Times New Roman" w:cs="Times New Roman"/>
          <w:szCs w:val="24"/>
        </w:rPr>
        <w:t>programme</w:t>
      </w:r>
      <w:proofErr w:type="spellEnd"/>
      <w:r w:rsidRPr="00F5335B">
        <w:rPr>
          <w:rFonts w:ascii="Times New Roman" w:eastAsia="Times New Roman" w:hAnsi="Times New Roman" w:cs="Times New Roman"/>
          <w:szCs w:val="24"/>
        </w:rPr>
        <w:t xml:space="preserve"> is designed not only to improve service delivery but also to strengthen early detection, promote preventive health </w:t>
      </w:r>
      <w:proofErr w:type="spellStart"/>
      <w:r w:rsidRPr="00F5335B">
        <w:rPr>
          <w:rFonts w:ascii="Times New Roman" w:eastAsia="Times New Roman" w:hAnsi="Times New Roman" w:cs="Times New Roman"/>
          <w:szCs w:val="24"/>
        </w:rPr>
        <w:t>behaviours</w:t>
      </w:r>
      <w:proofErr w:type="spellEnd"/>
      <w:r w:rsidRPr="00F5335B">
        <w:rPr>
          <w:rFonts w:ascii="Times New Roman" w:eastAsia="Times New Roman" w:hAnsi="Times New Roman" w:cs="Times New Roman"/>
          <w:szCs w:val="24"/>
        </w:rPr>
        <w:t>, and enhance linkages with the public health system.</w:t>
      </w:r>
    </w:p>
    <w:p w14:paraId="45804CA1" w14:textId="77777777" w:rsidR="00F5335B" w:rsidRPr="00F5335B" w:rsidRDefault="00F5335B" w:rsidP="00643EBC">
      <w:pPr>
        <w:shd w:val="clear" w:color="auto" w:fill="DBE5F1" w:themeFill="accent1" w:themeFillTint="33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F5335B">
        <w:rPr>
          <w:rFonts w:ascii="Times New Roman" w:eastAsia="Times New Roman" w:hAnsi="Times New Roman" w:cs="Times New Roman"/>
          <w:b/>
          <w:bCs/>
          <w:sz w:val="28"/>
          <w:szCs w:val="36"/>
        </w:rPr>
        <w:t>Purpose of the Assignment</w:t>
      </w:r>
    </w:p>
    <w:p w14:paraId="66089713" w14:textId="77777777" w:rsidR="00F5335B" w:rsidRPr="00F5335B" w:rsidRDefault="00F5335B" w:rsidP="00F5335B">
      <w:pPr>
        <w:spacing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F5335B">
        <w:rPr>
          <w:rFonts w:ascii="Times New Roman" w:eastAsia="Times New Roman" w:hAnsi="Times New Roman" w:cs="Times New Roman"/>
          <w:szCs w:val="24"/>
        </w:rPr>
        <w:t xml:space="preserve">PPHF seeks </w:t>
      </w:r>
      <w:r w:rsidRPr="00643EBC">
        <w:rPr>
          <w:rFonts w:ascii="Times New Roman" w:eastAsia="Times New Roman" w:hAnsi="Times New Roman" w:cs="Times New Roman"/>
          <w:szCs w:val="24"/>
        </w:rPr>
        <w:t xml:space="preserve">to conduct </w:t>
      </w:r>
      <w:r w:rsidRPr="00F5335B">
        <w:rPr>
          <w:rFonts w:ascii="Times New Roman" w:eastAsia="Times New Roman" w:hAnsi="Times New Roman" w:cs="Times New Roman"/>
          <w:szCs w:val="24"/>
        </w:rPr>
        <w:t xml:space="preserve">an independent impact assessment to generate robust, evidence-based insights on the </w:t>
      </w:r>
      <w:proofErr w:type="spellStart"/>
      <w:r w:rsidRPr="00F5335B">
        <w:rPr>
          <w:rFonts w:ascii="Times New Roman" w:eastAsia="Times New Roman" w:hAnsi="Times New Roman" w:cs="Times New Roman"/>
          <w:szCs w:val="24"/>
        </w:rPr>
        <w:t>programme’s</w:t>
      </w:r>
      <w:proofErr w:type="spellEnd"/>
      <w:r w:rsidRPr="00F5335B">
        <w:rPr>
          <w:rFonts w:ascii="Times New Roman" w:eastAsia="Times New Roman" w:hAnsi="Times New Roman" w:cs="Times New Roman"/>
          <w:szCs w:val="24"/>
        </w:rPr>
        <w:t xml:space="preserve"> effectiveness, outcomes, and implementation model.</w:t>
      </w:r>
      <w:r w:rsidRPr="00643EBC">
        <w:rPr>
          <w:rFonts w:ascii="Times New Roman" w:eastAsia="Times New Roman" w:hAnsi="Times New Roman" w:cs="Times New Roman"/>
          <w:szCs w:val="24"/>
        </w:rPr>
        <w:t xml:space="preserve"> </w:t>
      </w:r>
      <w:r w:rsidRPr="00F5335B">
        <w:rPr>
          <w:rFonts w:ascii="Times New Roman" w:eastAsia="Times New Roman" w:hAnsi="Times New Roman" w:cs="Times New Roman"/>
          <w:szCs w:val="24"/>
        </w:rPr>
        <w:t>The assessment is expected to:</w:t>
      </w:r>
    </w:p>
    <w:p w14:paraId="7298A4E4" w14:textId="77777777" w:rsidR="00F5335B" w:rsidRPr="00F5335B" w:rsidRDefault="00F5335B" w:rsidP="00F5335B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F5335B">
        <w:rPr>
          <w:rFonts w:ascii="Times New Roman" w:eastAsia="Times New Roman" w:hAnsi="Times New Roman" w:cs="Times New Roman"/>
          <w:szCs w:val="24"/>
        </w:rPr>
        <w:t xml:space="preserve">Rigorously evaluate </w:t>
      </w:r>
      <w:proofErr w:type="spellStart"/>
      <w:r w:rsidRPr="00F5335B">
        <w:rPr>
          <w:rFonts w:ascii="Times New Roman" w:eastAsia="Times New Roman" w:hAnsi="Times New Roman" w:cs="Times New Roman"/>
          <w:szCs w:val="24"/>
        </w:rPr>
        <w:t>programme</w:t>
      </w:r>
      <w:proofErr w:type="spellEnd"/>
      <w:r w:rsidRPr="00F5335B">
        <w:rPr>
          <w:rFonts w:ascii="Times New Roman" w:eastAsia="Times New Roman" w:hAnsi="Times New Roman" w:cs="Times New Roman"/>
          <w:szCs w:val="24"/>
        </w:rPr>
        <w:t xml:space="preserve"> performance against its intended objectives</w:t>
      </w:r>
    </w:p>
    <w:p w14:paraId="64FABBBB" w14:textId="77777777" w:rsidR="00F5335B" w:rsidRPr="00F5335B" w:rsidRDefault="00F5335B" w:rsidP="00F5335B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F5335B">
        <w:rPr>
          <w:rFonts w:ascii="Times New Roman" w:eastAsia="Times New Roman" w:hAnsi="Times New Roman" w:cs="Times New Roman"/>
          <w:szCs w:val="24"/>
        </w:rPr>
        <w:t>Assess the extent of change attributable to the intervention</w:t>
      </w:r>
    </w:p>
    <w:p w14:paraId="0200ED59" w14:textId="77777777" w:rsidR="00F5335B" w:rsidRPr="00F5335B" w:rsidRDefault="00F5335B" w:rsidP="00F5335B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F5335B">
        <w:rPr>
          <w:rFonts w:ascii="Times New Roman" w:eastAsia="Times New Roman" w:hAnsi="Times New Roman" w:cs="Times New Roman"/>
          <w:szCs w:val="24"/>
        </w:rPr>
        <w:t>Identify scalable elements and operational efficiencies</w:t>
      </w:r>
    </w:p>
    <w:p w14:paraId="789E1ED5" w14:textId="77777777" w:rsidR="00F5335B" w:rsidRPr="00F5335B" w:rsidRDefault="00F5335B" w:rsidP="00F5335B">
      <w:pPr>
        <w:numPr>
          <w:ilvl w:val="0"/>
          <w:numId w:val="2"/>
        </w:numPr>
        <w:spacing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F5335B">
        <w:rPr>
          <w:rFonts w:ascii="Times New Roman" w:eastAsia="Times New Roman" w:hAnsi="Times New Roman" w:cs="Times New Roman"/>
          <w:szCs w:val="24"/>
        </w:rPr>
        <w:t xml:space="preserve">Generate strategic recommendations for </w:t>
      </w:r>
      <w:proofErr w:type="spellStart"/>
      <w:r w:rsidRPr="00F5335B">
        <w:rPr>
          <w:rFonts w:ascii="Times New Roman" w:eastAsia="Times New Roman" w:hAnsi="Times New Roman" w:cs="Times New Roman"/>
          <w:szCs w:val="24"/>
        </w:rPr>
        <w:t>programme</w:t>
      </w:r>
      <w:proofErr w:type="spellEnd"/>
      <w:r w:rsidRPr="00F5335B">
        <w:rPr>
          <w:rFonts w:ascii="Times New Roman" w:eastAsia="Times New Roman" w:hAnsi="Times New Roman" w:cs="Times New Roman"/>
          <w:szCs w:val="24"/>
        </w:rPr>
        <w:t xml:space="preserve"> strengthening and replication</w:t>
      </w:r>
    </w:p>
    <w:p w14:paraId="6511D7BA" w14:textId="77777777" w:rsidR="00F5335B" w:rsidRPr="00F5335B" w:rsidRDefault="00F5335B" w:rsidP="00643EBC">
      <w:pPr>
        <w:shd w:val="clear" w:color="auto" w:fill="DBE5F1" w:themeFill="accent1" w:themeFillTint="33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F5335B">
        <w:rPr>
          <w:rFonts w:ascii="Times New Roman" w:eastAsia="Times New Roman" w:hAnsi="Times New Roman" w:cs="Times New Roman"/>
          <w:b/>
          <w:bCs/>
          <w:sz w:val="28"/>
          <w:szCs w:val="36"/>
        </w:rPr>
        <w:t>Objectives of the Assessment</w:t>
      </w:r>
    </w:p>
    <w:p w14:paraId="788DDF32" w14:textId="77777777" w:rsidR="00F5335B" w:rsidRPr="00F5335B" w:rsidRDefault="00F5335B" w:rsidP="00F5335B">
      <w:pPr>
        <w:spacing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F5335B">
        <w:rPr>
          <w:rFonts w:ascii="Times New Roman" w:eastAsia="Times New Roman" w:hAnsi="Times New Roman" w:cs="Times New Roman"/>
          <w:szCs w:val="24"/>
        </w:rPr>
        <w:t>The assessment will address the following core objectives:</w:t>
      </w:r>
    </w:p>
    <w:p w14:paraId="75B87F31" w14:textId="77777777" w:rsidR="00F5335B" w:rsidRPr="00643EBC" w:rsidRDefault="00F5335B" w:rsidP="00F5335B">
      <w:pPr>
        <w:pStyle w:val="ListParagraph"/>
        <w:numPr>
          <w:ilvl w:val="0"/>
          <w:numId w:val="2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Cs w:val="27"/>
        </w:rPr>
      </w:pPr>
      <w:r w:rsidRPr="00643EBC">
        <w:rPr>
          <w:rFonts w:ascii="Times New Roman" w:eastAsia="Times New Roman" w:hAnsi="Times New Roman" w:cs="Times New Roman"/>
          <w:b/>
          <w:bCs/>
          <w:szCs w:val="27"/>
        </w:rPr>
        <w:t>Programme Reach and Equity</w:t>
      </w:r>
    </w:p>
    <w:p w14:paraId="41F468B9" w14:textId="77777777" w:rsidR="00F5335B" w:rsidRPr="00F5335B" w:rsidRDefault="00F5335B" w:rsidP="00F5335B">
      <w:pPr>
        <w:numPr>
          <w:ilvl w:val="0"/>
          <w:numId w:val="3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5335B">
        <w:rPr>
          <w:rFonts w:ascii="Times New Roman" w:eastAsia="Times New Roman" w:hAnsi="Times New Roman" w:cs="Times New Roman"/>
          <w:szCs w:val="24"/>
        </w:rPr>
        <w:t xml:space="preserve">Assess the extent and inclusiveness of </w:t>
      </w:r>
      <w:proofErr w:type="spellStart"/>
      <w:r w:rsidRPr="00F5335B">
        <w:rPr>
          <w:rFonts w:ascii="Times New Roman" w:eastAsia="Times New Roman" w:hAnsi="Times New Roman" w:cs="Times New Roman"/>
          <w:szCs w:val="24"/>
        </w:rPr>
        <w:t>programme</w:t>
      </w:r>
      <w:proofErr w:type="spellEnd"/>
      <w:r w:rsidRPr="00F5335B">
        <w:rPr>
          <w:rFonts w:ascii="Times New Roman" w:eastAsia="Times New Roman" w:hAnsi="Times New Roman" w:cs="Times New Roman"/>
          <w:szCs w:val="24"/>
        </w:rPr>
        <w:t xml:space="preserve"> coverage</w:t>
      </w:r>
    </w:p>
    <w:p w14:paraId="586246AA" w14:textId="77777777" w:rsidR="00F5335B" w:rsidRPr="00F5335B" w:rsidRDefault="00F5335B" w:rsidP="00643EB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5335B">
        <w:rPr>
          <w:rFonts w:ascii="Times New Roman" w:eastAsia="Times New Roman" w:hAnsi="Times New Roman" w:cs="Times New Roman"/>
          <w:szCs w:val="24"/>
        </w:rPr>
        <w:t>Examine reach among vulnerable and underserved populations</w:t>
      </w:r>
    </w:p>
    <w:p w14:paraId="4D3DD035" w14:textId="77777777" w:rsidR="00F5335B" w:rsidRPr="00643EBC" w:rsidRDefault="00F5335B" w:rsidP="00F5335B">
      <w:pPr>
        <w:pStyle w:val="ListParagraph"/>
        <w:numPr>
          <w:ilvl w:val="0"/>
          <w:numId w:val="2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Cs w:val="27"/>
        </w:rPr>
      </w:pPr>
      <w:r w:rsidRPr="00643EBC">
        <w:rPr>
          <w:rFonts w:ascii="Times New Roman" w:eastAsia="Times New Roman" w:hAnsi="Times New Roman" w:cs="Times New Roman"/>
          <w:b/>
          <w:bCs/>
          <w:szCs w:val="27"/>
        </w:rPr>
        <w:t>Access and Utilization of Healthcare Services</w:t>
      </w:r>
    </w:p>
    <w:p w14:paraId="57696309" w14:textId="77777777" w:rsidR="00F5335B" w:rsidRPr="00F5335B" w:rsidRDefault="00F5335B" w:rsidP="00F5335B">
      <w:pPr>
        <w:numPr>
          <w:ilvl w:val="0"/>
          <w:numId w:val="4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5335B">
        <w:rPr>
          <w:rFonts w:ascii="Times New Roman" w:eastAsia="Times New Roman" w:hAnsi="Times New Roman" w:cs="Times New Roman"/>
          <w:szCs w:val="24"/>
        </w:rPr>
        <w:t>Evaluate changes in access to primary healthcare services</w:t>
      </w:r>
    </w:p>
    <w:p w14:paraId="01092BB0" w14:textId="77777777" w:rsidR="00F5335B" w:rsidRPr="00F5335B" w:rsidRDefault="00F5335B" w:rsidP="00643EB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5335B">
        <w:rPr>
          <w:rFonts w:ascii="Times New Roman" w:eastAsia="Times New Roman" w:hAnsi="Times New Roman" w:cs="Times New Roman"/>
          <w:szCs w:val="24"/>
        </w:rPr>
        <w:t>Assess utilization patterns of MMU services</w:t>
      </w:r>
    </w:p>
    <w:p w14:paraId="57DDA320" w14:textId="77777777" w:rsidR="00F5335B" w:rsidRPr="00643EBC" w:rsidRDefault="00F5335B" w:rsidP="00643EBC">
      <w:pPr>
        <w:pStyle w:val="ListParagraph"/>
        <w:numPr>
          <w:ilvl w:val="0"/>
          <w:numId w:val="2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Cs w:val="27"/>
        </w:rPr>
      </w:pPr>
      <w:r w:rsidRPr="00643EBC">
        <w:rPr>
          <w:rFonts w:ascii="Times New Roman" w:eastAsia="Times New Roman" w:hAnsi="Times New Roman" w:cs="Times New Roman"/>
          <w:b/>
          <w:bCs/>
          <w:szCs w:val="27"/>
        </w:rPr>
        <w:t xml:space="preserve">Health Awareness and </w:t>
      </w:r>
      <w:proofErr w:type="spellStart"/>
      <w:r w:rsidRPr="00643EBC">
        <w:rPr>
          <w:rFonts w:ascii="Times New Roman" w:eastAsia="Times New Roman" w:hAnsi="Times New Roman" w:cs="Times New Roman"/>
          <w:b/>
          <w:bCs/>
          <w:szCs w:val="27"/>
        </w:rPr>
        <w:t>Behaviour</w:t>
      </w:r>
      <w:proofErr w:type="spellEnd"/>
      <w:r w:rsidRPr="00643EBC">
        <w:rPr>
          <w:rFonts w:ascii="Times New Roman" w:eastAsia="Times New Roman" w:hAnsi="Times New Roman" w:cs="Times New Roman"/>
          <w:b/>
          <w:bCs/>
          <w:szCs w:val="27"/>
        </w:rPr>
        <w:t xml:space="preserve"> Change</w:t>
      </w:r>
    </w:p>
    <w:p w14:paraId="6CC7F890" w14:textId="77777777" w:rsidR="00F5335B" w:rsidRPr="00F5335B" w:rsidRDefault="00F5335B" w:rsidP="00643E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5335B">
        <w:rPr>
          <w:rFonts w:ascii="Times New Roman" w:eastAsia="Times New Roman" w:hAnsi="Times New Roman" w:cs="Times New Roman"/>
          <w:szCs w:val="24"/>
        </w:rPr>
        <w:t>Measure changes in awareness of key health issues</w:t>
      </w:r>
    </w:p>
    <w:p w14:paraId="4E978DDE" w14:textId="77777777" w:rsidR="00F5335B" w:rsidRPr="00F5335B" w:rsidRDefault="00F5335B" w:rsidP="00643EBC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5335B">
        <w:rPr>
          <w:rFonts w:ascii="Times New Roman" w:eastAsia="Times New Roman" w:hAnsi="Times New Roman" w:cs="Times New Roman"/>
          <w:szCs w:val="24"/>
        </w:rPr>
        <w:t xml:space="preserve">Assess adoption of preventive and health-seeking </w:t>
      </w:r>
      <w:proofErr w:type="spellStart"/>
      <w:r w:rsidRPr="00F5335B">
        <w:rPr>
          <w:rFonts w:ascii="Times New Roman" w:eastAsia="Times New Roman" w:hAnsi="Times New Roman" w:cs="Times New Roman"/>
          <w:szCs w:val="24"/>
        </w:rPr>
        <w:t>behaviours</w:t>
      </w:r>
      <w:proofErr w:type="spellEnd"/>
    </w:p>
    <w:p w14:paraId="272A6AAC" w14:textId="77777777" w:rsidR="00F5335B" w:rsidRPr="00643EBC" w:rsidRDefault="00F5335B" w:rsidP="00643EBC">
      <w:pPr>
        <w:pStyle w:val="ListParagraph"/>
        <w:numPr>
          <w:ilvl w:val="0"/>
          <w:numId w:val="2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Cs w:val="27"/>
        </w:rPr>
      </w:pPr>
      <w:r w:rsidRPr="00643EBC">
        <w:rPr>
          <w:rFonts w:ascii="Times New Roman" w:eastAsia="Times New Roman" w:hAnsi="Times New Roman" w:cs="Times New Roman"/>
          <w:b/>
          <w:bCs/>
          <w:szCs w:val="27"/>
        </w:rPr>
        <w:t>Early Detection and Continuum of Care</w:t>
      </w:r>
    </w:p>
    <w:p w14:paraId="214B06FA" w14:textId="77777777" w:rsidR="00F5335B" w:rsidRPr="00F5335B" w:rsidRDefault="00F5335B" w:rsidP="00F5335B">
      <w:pPr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5335B">
        <w:rPr>
          <w:rFonts w:ascii="Times New Roman" w:eastAsia="Times New Roman" w:hAnsi="Times New Roman" w:cs="Times New Roman"/>
          <w:szCs w:val="24"/>
        </w:rPr>
        <w:t>Evaluate effectiveness of screening services</w:t>
      </w:r>
    </w:p>
    <w:p w14:paraId="56576B07" w14:textId="77777777" w:rsidR="00F5335B" w:rsidRPr="00F5335B" w:rsidRDefault="00F5335B" w:rsidP="00F5335B">
      <w:pPr>
        <w:numPr>
          <w:ilvl w:val="0"/>
          <w:numId w:val="6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5335B">
        <w:rPr>
          <w:rFonts w:ascii="Times New Roman" w:eastAsia="Times New Roman" w:hAnsi="Times New Roman" w:cs="Times New Roman"/>
          <w:szCs w:val="24"/>
        </w:rPr>
        <w:t>Assess referral uptake, completion, and follow-through</w:t>
      </w:r>
    </w:p>
    <w:p w14:paraId="72B1CCF2" w14:textId="77777777" w:rsidR="00F5335B" w:rsidRPr="00F5335B" w:rsidRDefault="00F5335B" w:rsidP="00643EB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5335B">
        <w:rPr>
          <w:rFonts w:ascii="Times New Roman" w:eastAsia="Times New Roman" w:hAnsi="Times New Roman" w:cs="Times New Roman"/>
          <w:szCs w:val="24"/>
        </w:rPr>
        <w:lastRenderedPageBreak/>
        <w:t>Examine linkages with public health systems</w:t>
      </w:r>
    </w:p>
    <w:p w14:paraId="2A106537" w14:textId="77777777" w:rsidR="00F5335B" w:rsidRPr="00643EBC" w:rsidRDefault="00F5335B" w:rsidP="00643EBC">
      <w:pPr>
        <w:pStyle w:val="ListParagraph"/>
        <w:numPr>
          <w:ilvl w:val="0"/>
          <w:numId w:val="2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Cs w:val="27"/>
        </w:rPr>
      </w:pPr>
      <w:r w:rsidRPr="00643EBC">
        <w:rPr>
          <w:rFonts w:ascii="Times New Roman" w:eastAsia="Times New Roman" w:hAnsi="Times New Roman" w:cs="Times New Roman"/>
          <w:b/>
          <w:bCs/>
          <w:szCs w:val="27"/>
        </w:rPr>
        <w:t>Service Quality and Beneficiary Experience</w:t>
      </w:r>
    </w:p>
    <w:p w14:paraId="5207A7DA" w14:textId="77777777" w:rsidR="00F5335B" w:rsidRPr="00F5335B" w:rsidRDefault="00F5335B" w:rsidP="00643E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5335B">
        <w:rPr>
          <w:rFonts w:ascii="Times New Roman" w:eastAsia="Times New Roman" w:hAnsi="Times New Roman" w:cs="Times New Roman"/>
          <w:szCs w:val="24"/>
        </w:rPr>
        <w:t>Assess perceived quality, trust, and acceptability of services</w:t>
      </w:r>
    </w:p>
    <w:p w14:paraId="0ABF2ADE" w14:textId="77777777" w:rsidR="00F5335B" w:rsidRPr="00F5335B" w:rsidRDefault="00F5335B" w:rsidP="00643EBC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5335B">
        <w:rPr>
          <w:rFonts w:ascii="Times New Roman" w:eastAsia="Times New Roman" w:hAnsi="Times New Roman" w:cs="Times New Roman"/>
          <w:szCs w:val="24"/>
        </w:rPr>
        <w:t>Measure beneficiary satisfaction</w:t>
      </w:r>
    </w:p>
    <w:p w14:paraId="62DC43DD" w14:textId="77777777" w:rsidR="00F5335B" w:rsidRPr="00643EBC" w:rsidRDefault="00F5335B" w:rsidP="00643EBC">
      <w:pPr>
        <w:pStyle w:val="ListParagraph"/>
        <w:numPr>
          <w:ilvl w:val="0"/>
          <w:numId w:val="2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Cs w:val="27"/>
        </w:rPr>
      </w:pPr>
      <w:r w:rsidRPr="00643EBC">
        <w:rPr>
          <w:rFonts w:ascii="Times New Roman" w:eastAsia="Times New Roman" w:hAnsi="Times New Roman" w:cs="Times New Roman"/>
          <w:b/>
          <w:bCs/>
          <w:szCs w:val="27"/>
        </w:rPr>
        <w:t>Programme Efficiency and Implementation Effectiveness</w:t>
      </w:r>
    </w:p>
    <w:p w14:paraId="37245E7C" w14:textId="77777777" w:rsidR="00F5335B" w:rsidRPr="00F5335B" w:rsidRDefault="00F5335B" w:rsidP="00643EB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proofErr w:type="spellStart"/>
      <w:r w:rsidRPr="00F5335B">
        <w:rPr>
          <w:rFonts w:ascii="Times New Roman" w:eastAsia="Times New Roman" w:hAnsi="Times New Roman" w:cs="Times New Roman"/>
          <w:szCs w:val="24"/>
        </w:rPr>
        <w:t>Analyse</w:t>
      </w:r>
      <w:proofErr w:type="spellEnd"/>
      <w:r w:rsidRPr="00F5335B">
        <w:rPr>
          <w:rFonts w:ascii="Times New Roman" w:eastAsia="Times New Roman" w:hAnsi="Times New Roman" w:cs="Times New Roman"/>
          <w:szCs w:val="24"/>
        </w:rPr>
        <w:t xml:space="preserve"> operational design and delivery efficiency</w:t>
      </w:r>
    </w:p>
    <w:p w14:paraId="094995CA" w14:textId="77777777" w:rsidR="00F5335B" w:rsidRPr="00F5335B" w:rsidRDefault="00F5335B" w:rsidP="00643EB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5335B">
        <w:rPr>
          <w:rFonts w:ascii="Times New Roman" w:eastAsia="Times New Roman" w:hAnsi="Times New Roman" w:cs="Times New Roman"/>
          <w:szCs w:val="24"/>
        </w:rPr>
        <w:t>Identify implementation strengths, bottlenecks, and innovations</w:t>
      </w:r>
    </w:p>
    <w:p w14:paraId="67041895" w14:textId="77777777" w:rsidR="00F5335B" w:rsidRPr="00643EBC" w:rsidRDefault="00F5335B" w:rsidP="00643EBC">
      <w:pPr>
        <w:pStyle w:val="ListParagraph"/>
        <w:numPr>
          <w:ilvl w:val="0"/>
          <w:numId w:val="29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Cs w:val="27"/>
        </w:rPr>
      </w:pPr>
      <w:r w:rsidRPr="00643EBC">
        <w:rPr>
          <w:rFonts w:ascii="Times New Roman" w:eastAsia="Times New Roman" w:hAnsi="Times New Roman" w:cs="Times New Roman"/>
          <w:b/>
          <w:bCs/>
          <w:szCs w:val="27"/>
        </w:rPr>
        <w:t>Sustainability and Scalability</w:t>
      </w:r>
    </w:p>
    <w:p w14:paraId="233000CB" w14:textId="77777777" w:rsidR="00F5335B" w:rsidRPr="00F5335B" w:rsidRDefault="00F5335B" w:rsidP="00643EB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5335B">
        <w:rPr>
          <w:rFonts w:ascii="Times New Roman" w:eastAsia="Times New Roman" w:hAnsi="Times New Roman" w:cs="Times New Roman"/>
          <w:szCs w:val="24"/>
        </w:rPr>
        <w:t>Assess the sustainability of the intervention model</w:t>
      </w:r>
    </w:p>
    <w:p w14:paraId="039B3E79" w14:textId="77777777" w:rsidR="00F5335B" w:rsidRPr="00F5335B" w:rsidRDefault="00F5335B" w:rsidP="00F5335B">
      <w:pPr>
        <w:numPr>
          <w:ilvl w:val="0"/>
          <w:numId w:val="9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5335B">
        <w:rPr>
          <w:rFonts w:ascii="Times New Roman" w:eastAsia="Times New Roman" w:hAnsi="Times New Roman" w:cs="Times New Roman"/>
          <w:szCs w:val="24"/>
        </w:rPr>
        <w:t>Identify potential for scale-up and replication</w:t>
      </w:r>
    </w:p>
    <w:p w14:paraId="75B84972" w14:textId="77777777" w:rsidR="00F5335B" w:rsidRPr="00F5335B" w:rsidRDefault="00F5335B" w:rsidP="00F53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E6A209" w14:textId="77777777" w:rsidR="00F5335B" w:rsidRPr="00F5335B" w:rsidRDefault="00F5335B" w:rsidP="00643EBC">
      <w:pPr>
        <w:shd w:val="clear" w:color="auto" w:fill="DBE5F1" w:themeFill="accent1" w:themeFillTint="33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F5335B">
        <w:rPr>
          <w:rFonts w:ascii="Times New Roman" w:eastAsia="Times New Roman" w:hAnsi="Times New Roman" w:cs="Times New Roman"/>
          <w:b/>
          <w:bCs/>
          <w:sz w:val="28"/>
          <w:szCs w:val="36"/>
        </w:rPr>
        <w:t>Scope of Work</w:t>
      </w:r>
    </w:p>
    <w:p w14:paraId="5FE3046A" w14:textId="77777777" w:rsidR="00F5335B" w:rsidRPr="00F5335B" w:rsidRDefault="00F5335B" w:rsidP="00F5335B">
      <w:pPr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F5335B">
        <w:rPr>
          <w:rFonts w:ascii="Times New Roman" w:eastAsia="Times New Roman" w:hAnsi="Times New Roman" w:cs="Times New Roman"/>
        </w:rPr>
        <w:t>The selected agency will undertake a comprehensive, mixed-methods evaluation covering the following:</w:t>
      </w:r>
    </w:p>
    <w:p w14:paraId="232D4BD9" w14:textId="77777777" w:rsidR="00F5335B" w:rsidRPr="00BE6276" w:rsidRDefault="00F5335B" w:rsidP="00F5335B">
      <w:p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 w:rsidRPr="00BE6276">
        <w:rPr>
          <w:rFonts w:ascii="Times New Roman" w:eastAsia="Times New Roman" w:hAnsi="Times New Roman" w:cs="Times New Roman"/>
        </w:rPr>
        <w:t>a) Evaluation Design</w:t>
      </w:r>
    </w:p>
    <w:p w14:paraId="16E156C8" w14:textId="77777777" w:rsidR="00F5335B" w:rsidRPr="00BE6276" w:rsidRDefault="00F5335B" w:rsidP="00F5335B">
      <w:p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 w:rsidRPr="00BE6276">
        <w:rPr>
          <w:rFonts w:ascii="Times New Roman" w:eastAsia="Times New Roman" w:hAnsi="Times New Roman" w:cs="Times New Roman"/>
        </w:rPr>
        <w:t>b) Methodology</w:t>
      </w:r>
    </w:p>
    <w:p w14:paraId="728F4DBC" w14:textId="77777777" w:rsidR="00F5335B" w:rsidRPr="00BE6276" w:rsidRDefault="00F5335B" w:rsidP="00F5335B">
      <w:pPr>
        <w:spacing w:after="0" w:line="240" w:lineRule="auto"/>
        <w:outlineLvl w:val="2"/>
        <w:rPr>
          <w:rFonts w:ascii="Times New Roman" w:eastAsia="Times New Roman" w:hAnsi="Times New Roman" w:cs="Times New Roman"/>
        </w:rPr>
      </w:pPr>
      <w:r w:rsidRPr="00BE6276">
        <w:rPr>
          <w:rFonts w:ascii="Times New Roman" w:eastAsia="Times New Roman" w:hAnsi="Times New Roman" w:cs="Times New Roman"/>
        </w:rPr>
        <w:t>c) Sampling Strategy</w:t>
      </w:r>
    </w:p>
    <w:p w14:paraId="0389D2A2" w14:textId="77777777" w:rsidR="00F5335B" w:rsidRPr="00BE6276" w:rsidRDefault="00F5335B" w:rsidP="00F5335B">
      <w:pPr>
        <w:spacing w:after="0" w:line="240" w:lineRule="auto"/>
        <w:outlineLvl w:val="2"/>
        <w:rPr>
          <w:rFonts w:ascii="Times New Roman" w:eastAsia="Times New Roman" w:hAnsi="Times New Roman" w:cs="Times New Roman"/>
          <w:szCs w:val="27"/>
        </w:rPr>
      </w:pPr>
      <w:r w:rsidRPr="00BE6276">
        <w:rPr>
          <w:rFonts w:ascii="Times New Roman" w:eastAsia="Times New Roman" w:hAnsi="Times New Roman" w:cs="Times New Roman"/>
          <w:szCs w:val="27"/>
        </w:rPr>
        <w:t>d) Data Analysis</w:t>
      </w:r>
    </w:p>
    <w:p w14:paraId="2CA8C180" w14:textId="77777777" w:rsidR="00F5335B" w:rsidRPr="00F5335B" w:rsidRDefault="00F5335B" w:rsidP="00F53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141D18" w14:textId="77777777" w:rsidR="00F5335B" w:rsidRPr="00F5335B" w:rsidRDefault="00F5335B" w:rsidP="00643EBC">
      <w:pPr>
        <w:shd w:val="clear" w:color="auto" w:fill="DBE5F1" w:themeFill="accent1" w:themeFillTint="33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6"/>
        </w:rPr>
      </w:pPr>
      <w:r w:rsidRPr="00F5335B">
        <w:rPr>
          <w:rFonts w:ascii="Times New Roman" w:eastAsia="Times New Roman" w:hAnsi="Times New Roman" w:cs="Times New Roman"/>
          <w:b/>
          <w:bCs/>
          <w:sz w:val="32"/>
          <w:szCs w:val="36"/>
        </w:rPr>
        <w:t>Deliverables</w:t>
      </w:r>
    </w:p>
    <w:p w14:paraId="5BAD1A80" w14:textId="77777777" w:rsidR="00F5335B" w:rsidRPr="00643EBC" w:rsidRDefault="00F5335B" w:rsidP="00F5335B">
      <w:pPr>
        <w:spacing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F5335B">
        <w:rPr>
          <w:rFonts w:ascii="Times New Roman" w:eastAsia="Times New Roman" w:hAnsi="Times New Roman" w:cs="Times New Roman"/>
          <w:szCs w:val="24"/>
        </w:rPr>
        <w:t>The agency will be responsible for the following deliverables:</w:t>
      </w:r>
    </w:p>
    <w:p w14:paraId="1ADE9936" w14:textId="77777777" w:rsidR="00F5335B" w:rsidRPr="00BE6276" w:rsidRDefault="00F5335B" w:rsidP="00F5335B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4"/>
        </w:rPr>
      </w:pPr>
      <w:r w:rsidRPr="00BE6276">
        <w:rPr>
          <w:rFonts w:ascii="Times New Roman" w:eastAsia="Times New Roman" w:hAnsi="Times New Roman" w:cs="Times New Roman"/>
          <w:szCs w:val="27"/>
        </w:rPr>
        <w:t>a) Inception Report</w:t>
      </w:r>
    </w:p>
    <w:p w14:paraId="61E0C900" w14:textId="77777777" w:rsidR="00F5335B" w:rsidRPr="00BE6276" w:rsidRDefault="00F5335B" w:rsidP="00F5335B">
      <w:pPr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sz w:val="24"/>
          <w:szCs w:val="27"/>
        </w:rPr>
      </w:pPr>
      <w:r w:rsidRPr="00BE6276">
        <w:rPr>
          <w:rFonts w:ascii="Times New Roman" w:eastAsia="Times New Roman" w:hAnsi="Times New Roman" w:cs="Times New Roman"/>
          <w:szCs w:val="27"/>
        </w:rPr>
        <w:t>b) Data Collection Instruments</w:t>
      </w:r>
    </w:p>
    <w:p w14:paraId="51EFF1D8" w14:textId="77777777" w:rsidR="00F5335B" w:rsidRPr="00BE6276" w:rsidRDefault="00F5335B" w:rsidP="00F5335B">
      <w:pPr>
        <w:pStyle w:val="ListParagraph"/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  <w:szCs w:val="27"/>
        </w:rPr>
      </w:pPr>
      <w:r w:rsidRPr="00BE6276">
        <w:rPr>
          <w:rFonts w:ascii="Times New Roman" w:eastAsia="Times New Roman" w:hAnsi="Times New Roman" w:cs="Times New Roman"/>
          <w:szCs w:val="27"/>
        </w:rPr>
        <w:t>Fieldwork Completion Brief</w:t>
      </w:r>
    </w:p>
    <w:p w14:paraId="7B4F4C0C" w14:textId="77777777" w:rsidR="00F5335B" w:rsidRPr="00BE6276" w:rsidRDefault="00F5335B" w:rsidP="00F5335B">
      <w:pPr>
        <w:pStyle w:val="ListParagraph"/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  <w:szCs w:val="24"/>
        </w:rPr>
      </w:pPr>
      <w:r w:rsidRPr="00BE6276">
        <w:rPr>
          <w:rFonts w:ascii="Times New Roman" w:eastAsia="Times New Roman" w:hAnsi="Times New Roman" w:cs="Times New Roman"/>
          <w:szCs w:val="24"/>
        </w:rPr>
        <w:t>Draft Impact Assessment Report</w:t>
      </w:r>
    </w:p>
    <w:p w14:paraId="4C3B4899" w14:textId="77777777" w:rsidR="00F5335B" w:rsidRPr="00BE6276" w:rsidRDefault="00F5335B" w:rsidP="00F5335B">
      <w:pPr>
        <w:pStyle w:val="ListParagraph"/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  <w:szCs w:val="27"/>
        </w:rPr>
      </w:pPr>
      <w:r w:rsidRPr="00BE6276">
        <w:rPr>
          <w:rFonts w:ascii="Times New Roman" w:eastAsia="Times New Roman" w:hAnsi="Times New Roman" w:cs="Times New Roman"/>
          <w:szCs w:val="27"/>
        </w:rPr>
        <w:t>Final Report</w:t>
      </w:r>
    </w:p>
    <w:p w14:paraId="392097AB" w14:textId="18747555" w:rsidR="00F5335B" w:rsidRPr="00BE6276" w:rsidRDefault="00F5335B" w:rsidP="00BE6276">
      <w:pPr>
        <w:pStyle w:val="ListParagraph"/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  <w:szCs w:val="24"/>
        </w:rPr>
      </w:pPr>
      <w:r w:rsidRPr="00BE6276">
        <w:rPr>
          <w:rFonts w:ascii="Times New Roman" w:eastAsia="Times New Roman" w:hAnsi="Times New Roman" w:cs="Times New Roman"/>
          <w:szCs w:val="27"/>
        </w:rPr>
        <w:t>Presentation</w:t>
      </w:r>
    </w:p>
    <w:p w14:paraId="32674E98" w14:textId="77777777" w:rsidR="00F5335B" w:rsidRPr="00BE6276" w:rsidRDefault="00F5335B" w:rsidP="00F5335B">
      <w:pPr>
        <w:pStyle w:val="ListParagraph"/>
        <w:numPr>
          <w:ilvl w:val="0"/>
          <w:numId w:val="8"/>
        </w:numPr>
        <w:spacing w:after="0" w:line="240" w:lineRule="auto"/>
        <w:outlineLvl w:val="2"/>
        <w:rPr>
          <w:rFonts w:ascii="Times New Roman" w:eastAsia="Times New Roman" w:hAnsi="Times New Roman" w:cs="Times New Roman"/>
          <w:szCs w:val="27"/>
        </w:rPr>
      </w:pPr>
      <w:r w:rsidRPr="00BE6276">
        <w:rPr>
          <w:rFonts w:ascii="Times New Roman" w:eastAsia="Times New Roman" w:hAnsi="Times New Roman" w:cs="Times New Roman"/>
          <w:szCs w:val="27"/>
        </w:rPr>
        <w:t>Data Outputs</w:t>
      </w:r>
    </w:p>
    <w:p w14:paraId="02FD732C" w14:textId="77777777" w:rsidR="00F5335B" w:rsidRPr="00F5335B" w:rsidRDefault="00F5335B" w:rsidP="00F53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38232B" w14:textId="77777777" w:rsidR="00F5335B" w:rsidRPr="00F5335B" w:rsidRDefault="00F5335B" w:rsidP="00643EBC">
      <w:pPr>
        <w:shd w:val="clear" w:color="auto" w:fill="DBE5F1" w:themeFill="accent1" w:themeFillTint="33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643EBC">
        <w:rPr>
          <w:rFonts w:ascii="Times New Roman" w:eastAsia="Times New Roman" w:hAnsi="Times New Roman" w:cs="Times New Roman"/>
          <w:b/>
          <w:bCs/>
          <w:sz w:val="28"/>
          <w:szCs w:val="36"/>
        </w:rPr>
        <w:t>Timeline</w:t>
      </w:r>
    </w:p>
    <w:p w14:paraId="14AA0DB4" w14:textId="77777777" w:rsidR="00F5335B" w:rsidRPr="00643EBC" w:rsidRDefault="00F5335B" w:rsidP="00F5335B">
      <w:pPr>
        <w:spacing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F5335B">
        <w:rPr>
          <w:rFonts w:ascii="Times New Roman" w:eastAsia="Times New Roman" w:hAnsi="Times New Roman" w:cs="Times New Roman"/>
          <w:szCs w:val="24"/>
        </w:rPr>
        <w:t xml:space="preserve">The assignment is expected to be completed within </w:t>
      </w:r>
      <w:r w:rsidR="00643EBC" w:rsidRPr="00643EBC">
        <w:rPr>
          <w:rFonts w:ascii="Times New Roman" w:eastAsia="Times New Roman" w:hAnsi="Times New Roman" w:cs="Times New Roman"/>
          <w:b/>
          <w:bCs/>
          <w:szCs w:val="24"/>
        </w:rPr>
        <w:t>4-8</w:t>
      </w:r>
      <w:r w:rsidRPr="00643EBC">
        <w:rPr>
          <w:rFonts w:ascii="Times New Roman" w:eastAsia="Times New Roman" w:hAnsi="Times New Roman" w:cs="Times New Roman"/>
          <w:b/>
          <w:bCs/>
          <w:szCs w:val="24"/>
        </w:rPr>
        <w:t xml:space="preserve"> weeks</w:t>
      </w:r>
      <w:r w:rsidRPr="00F5335B">
        <w:rPr>
          <w:rFonts w:ascii="Times New Roman" w:eastAsia="Times New Roman" w:hAnsi="Times New Roman" w:cs="Times New Roman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43EBC" w:rsidRPr="00643EBC" w14:paraId="4BD572C1" w14:textId="77777777" w:rsidTr="00643EBC">
        <w:tc>
          <w:tcPr>
            <w:tcW w:w="4788" w:type="dxa"/>
          </w:tcPr>
          <w:p w14:paraId="5ADC7E24" w14:textId="77777777" w:rsidR="00643EBC" w:rsidRPr="00643EBC" w:rsidRDefault="00643EBC" w:rsidP="00F5335B">
            <w:pPr>
              <w:spacing w:after="100" w:afterAutospacing="1"/>
              <w:rPr>
                <w:rFonts w:ascii="Times New Roman" w:eastAsia="Times New Roman" w:hAnsi="Times New Roman" w:cs="Times New Roman"/>
                <w:szCs w:val="24"/>
              </w:rPr>
            </w:pPr>
            <w:r w:rsidRPr="00F5335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Phase</w:t>
            </w:r>
          </w:p>
        </w:tc>
        <w:tc>
          <w:tcPr>
            <w:tcW w:w="4788" w:type="dxa"/>
          </w:tcPr>
          <w:p w14:paraId="57E01D6B" w14:textId="77777777" w:rsidR="00643EBC" w:rsidRPr="00643EBC" w:rsidRDefault="00643EBC" w:rsidP="00F5335B">
            <w:pPr>
              <w:spacing w:after="100" w:afterAutospacing="1"/>
              <w:rPr>
                <w:rFonts w:ascii="Times New Roman" w:eastAsia="Times New Roman" w:hAnsi="Times New Roman" w:cs="Times New Roman"/>
                <w:szCs w:val="24"/>
              </w:rPr>
            </w:pPr>
            <w:r w:rsidRPr="00F5335B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Timeline</w:t>
            </w:r>
          </w:p>
        </w:tc>
      </w:tr>
      <w:tr w:rsidR="00643EBC" w:rsidRPr="00643EBC" w14:paraId="1285F938" w14:textId="77777777" w:rsidTr="00643EBC">
        <w:tc>
          <w:tcPr>
            <w:tcW w:w="4788" w:type="dxa"/>
          </w:tcPr>
          <w:p w14:paraId="56A02AA2" w14:textId="77777777" w:rsidR="00643EBC" w:rsidRPr="00643EBC" w:rsidRDefault="00643EBC" w:rsidP="00F5335B">
            <w:pPr>
              <w:spacing w:after="100" w:afterAutospacing="1"/>
              <w:rPr>
                <w:rFonts w:ascii="Times New Roman" w:eastAsia="Times New Roman" w:hAnsi="Times New Roman" w:cs="Times New Roman"/>
                <w:szCs w:val="24"/>
              </w:rPr>
            </w:pPr>
            <w:r w:rsidRPr="00643EBC">
              <w:rPr>
                <w:rFonts w:ascii="Times New Roman" w:eastAsia="Times New Roman" w:hAnsi="Times New Roman" w:cs="Times New Roman"/>
                <w:szCs w:val="24"/>
              </w:rPr>
              <w:t xml:space="preserve">Inception, </w:t>
            </w:r>
            <w:r w:rsidRPr="00F5335B">
              <w:rPr>
                <w:rFonts w:ascii="Times New Roman" w:eastAsia="Times New Roman" w:hAnsi="Times New Roman" w:cs="Times New Roman"/>
                <w:szCs w:val="24"/>
              </w:rPr>
              <w:t>Design</w:t>
            </w:r>
            <w:r w:rsidRPr="00643EBC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r w:rsidRPr="00F5335B">
              <w:rPr>
                <w:rFonts w:ascii="Times New Roman" w:eastAsia="Times New Roman" w:hAnsi="Times New Roman" w:cs="Times New Roman"/>
                <w:szCs w:val="24"/>
              </w:rPr>
              <w:t>Tool Finalization</w:t>
            </w:r>
          </w:p>
        </w:tc>
        <w:tc>
          <w:tcPr>
            <w:tcW w:w="4788" w:type="dxa"/>
          </w:tcPr>
          <w:p w14:paraId="59905E7E" w14:textId="77777777" w:rsidR="00643EBC" w:rsidRPr="00643EBC" w:rsidRDefault="00643EBC" w:rsidP="00F5335B">
            <w:pPr>
              <w:spacing w:after="100" w:afterAutospacing="1"/>
              <w:rPr>
                <w:rFonts w:ascii="Times New Roman" w:eastAsia="Times New Roman" w:hAnsi="Times New Roman" w:cs="Times New Roman"/>
                <w:szCs w:val="24"/>
              </w:rPr>
            </w:pPr>
            <w:r w:rsidRPr="00643EBC">
              <w:rPr>
                <w:rFonts w:ascii="Times New Roman" w:eastAsia="Times New Roman" w:hAnsi="Times New Roman" w:cs="Times New Roman"/>
                <w:szCs w:val="24"/>
              </w:rPr>
              <w:t>1 Week</w:t>
            </w:r>
          </w:p>
        </w:tc>
      </w:tr>
      <w:tr w:rsidR="00643EBC" w:rsidRPr="00643EBC" w14:paraId="2A5AFB8A" w14:textId="77777777" w:rsidTr="00643EBC">
        <w:tc>
          <w:tcPr>
            <w:tcW w:w="4788" w:type="dxa"/>
          </w:tcPr>
          <w:p w14:paraId="38B68CF8" w14:textId="77777777" w:rsidR="00643EBC" w:rsidRPr="00643EBC" w:rsidRDefault="00643EBC" w:rsidP="00F5335B">
            <w:pPr>
              <w:spacing w:after="100" w:afterAutospacing="1"/>
              <w:rPr>
                <w:rFonts w:ascii="Times New Roman" w:eastAsia="Times New Roman" w:hAnsi="Times New Roman" w:cs="Times New Roman"/>
                <w:szCs w:val="24"/>
              </w:rPr>
            </w:pPr>
            <w:r w:rsidRPr="00F5335B">
              <w:rPr>
                <w:rFonts w:ascii="Times New Roman" w:eastAsia="Times New Roman" w:hAnsi="Times New Roman" w:cs="Times New Roman"/>
                <w:szCs w:val="24"/>
              </w:rPr>
              <w:t>Data Collection</w:t>
            </w:r>
          </w:p>
        </w:tc>
        <w:tc>
          <w:tcPr>
            <w:tcW w:w="4788" w:type="dxa"/>
          </w:tcPr>
          <w:p w14:paraId="4E4AE5B4" w14:textId="77777777" w:rsidR="00643EBC" w:rsidRPr="00643EBC" w:rsidRDefault="00643EBC" w:rsidP="00F5335B">
            <w:pPr>
              <w:spacing w:after="100" w:afterAutospacing="1"/>
              <w:rPr>
                <w:rFonts w:ascii="Times New Roman" w:eastAsia="Times New Roman" w:hAnsi="Times New Roman" w:cs="Times New Roman"/>
                <w:szCs w:val="24"/>
              </w:rPr>
            </w:pPr>
            <w:r w:rsidRPr="00643EBC">
              <w:rPr>
                <w:rFonts w:ascii="Times New Roman" w:eastAsia="Times New Roman" w:hAnsi="Times New Roman" w:cs="Times New Roman"/>
                <w:szCs w:val="24"/>
              </w:rPr>
              <w:t>2 weeks</w:t>
            </w:r>
          </w:p>
        </w:tc>
      </w:tr>
      <w:tr w:rsidR="00643EBC" w:rsidRPr="00643EBC" w14:paraId="074F114F" w14:textId="77777777" w:rsidTr="00643EBC">
        <w:tc>
          <w:tcPr>
            <w:tcW w:w="4788" w:type="dxa"/>
          </w:tcPr>
          <w:p w14:paraId="7F70AC1B" w14:textId="77777777" w:rsidR="00643EBC" w:rsidRPr="00643EBC" w:rsidRDefault="00643EBC" w:rsidP="00F5335B">
            <w:pPr>
              <w:spacing w:after="100" w:afterAutospacing="1"/>
              <w:rPr>
                <w:rFonts w:ascii="Times New Roman" w:eastAsia="Times New Roman" w:hAnsi="Times New Roman" w:cs="Times New Roman"/>
                <w:szCs w:val="24"/>
              </w:rPr>
            </w:pPr>
            <w:r w:rsidRPr="00F5335B">
              <w:rPr>
                <w:rFonts w:ascii="Times New Roman" w:eastAsia="Times New Roman" w:hAnsi="Times New Roman" w:cs="Times New Roman"/>
                <w:szCs w:val="24"/>
              </w:rPr>
              <w:t>Analysis &amp; Reporting</w:t>
            </w:r>
          </w:p>
        </w:tc>
        <w:tc>
          <w:tcPr>
            <w:tcW w:w="4788" w:type="dxa"/>
          </w:tcPr>
          <w:p w14:paraId="208772E2" w14:textId="77777777" w:rsidR="00643EBC" w:rsidRPr="00643EBC" w:rsidRDefault="00643EBC" w:rsidP="00F5335B">
            <w:pPr>
              <w:spacing w:after="100" w:afterAutospacing="1"/>
              <w:rPr>
                <w:rFonts w:ascii="Times New Roman" w:eastAsia="Times New Roman" w:hAnsi="Times New Roman" w:cs="Times New Roman"/>
                <w:szCs w:val="24"/>
              </w:rPr>
            </w:pPr>
            <w:r w:rsidRPr="00643EBC">
              <w:rPr>
                <w:rFonts w:ascii="Times New Roman" w:eastAsia="Times New Roman" w:hAnsi="Times New Roman" w:cs="Times New Roman"/>
                <w:szCs w:val="24"/>
              </w:rPr>
              <w:t>1 week</w:t>
            </w:r>
          </w:p>
        </w:tc>
      </w:tr>
    </w:tbl>
    <w:p w14:paraId="7F57C8EE" w14:textId="77777777" w:rsidR="00F5335B" w:rsidRPr="00F5335B" w:rsidRDefault="00F5335B" w:rsidP="00F533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C44C5E" w14:textId="77777777" w:rsidR="00F5335B" w:rsidRPr="00F5335B" w:rsidRDefault="00F5335B" w:rsidP="00643EBC">
      <w:pPr>
        <w:shd w:val="clear" w:color="auto" w:fill="DBE5F1" w:themeFill="accent1" w:themeFillTint="33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643EBC">
        <w:rPr>
          <w:rFonts w:ascii="Times New Roman" w:eastAsia="Times New Roman" w:hAnsi="Times New Roman" w:cs="Times New Roman"/>
          <w:b/>
          <w:bCs/>
          <w:sz w:val="28"/>
          <w:szCs w:val="36"/>
        </w:rPr>
        <w:t>Team Composition and Expertise</w:t>
      </w:r>
    </w:p>
    <w:p w14:paraId="36B2A05E" w14:textId="77777777" w:rsidR="00F5335B" w:rsidRPr="00F5335B" w:rsidRDefault="00F5335B" w:rsidP="00643EBC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F5335B">
        <w:rPr>
          <w:rFonts w:ascii="Times New Roman" w:eastAsia="Times New Roman" w:hAnsi="Times New Roman" w:cs="Times New Roman"/>
          <w:szCs w:val="24"/>
        </w:rPr>
        <w:t>The agency should demonstrate:</w:t>
      </w:r>
    </w:p>
    <w:p w14:paraId="7DBF1767" w14:textId="77777777" w:rsidR="00F5335B" w:rsidRPr="00445DFE" w:rsidRDefault="00F5335B" w:rsidP="00F5335B">
      <w:pPr>
        <w:numPr>
          <w:ilvl w:val="0"/>
          <w:numId w:val="22"/>
        </w:numPr>
        <w:spacing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445DFE">
        <w:rPr>
          <w:rFonts w:ascii="Times New Roman" w:eastAsia="Times New Roman" w:hAnsi="Times New Roman" w:cs="Times New Roman"/>
          <w:szCs w:val="24"/>
        </w:rPr>
        <w:t>Proven experience in public health evaluations</w:t>
      </w:r>
    </w:p>
    <w:p w14:paraId="26F1C1C8" w14:textId="77777777" w:rsidR="00F5335B" w:rsidRPr="00445DFE" w:rsidRDefault="00F5335B" w:rsidP="00F5335B">
      <w:pPr>
        <w:numPr>
          <w:ilvl w:val="0"/>
          <w:numId w:val="22"/>
        </w:numPr>
        <w:spacing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445DFE">
        <w:rPr>
          <w:rFonts w:ascii="Times New Roman" w:eastAsia="Times New Roman" w:hAnsi="Times New Roman" w:cs="Times New Roman"/>
          <w:szCs w:val="24"/>
        </w:rPr>
        <w:t xml:space="preserve">Prior work in </w:t>
      </w:r>
      <w:proofErr w:type="gramStart"/>
      <w:r w:rsidRPr="00445DFE">
        <w:rPr>
          <w:rFonts w:ascii="Times New Roman" w:eastAsia="Times New Roman" w:hAnsi="Times New Roman" w:cs="Times New Roman"/>
          <w:szCs w:val="24"/>
        </w:rPr>
        <w:t>rural</w:t>
      </w:r>
      <w:proofErr w:type="gramEnd"/>
      <w:r w:rsidRPr="00445DFE">
        <w:rPr>
          <w:rFonts w:ascii="Times New Roman" w:eastAsia="Times New Roman" w:hAnsi="Times New Roman" w:cs="Times New Roman"/>
          <w:szCs w:val="24"/>
        </w:rPr>
        <w:t xml:space="preserve"> and underserved geographies</w:t>
      </w:r>
    </w:p>
    <w:p w14:paraId="23A3D6C5" w14:textId="77777777" w:rsidR="00F5335B" w:rsidRPr="00445DFE" w:rsidRDefault="00F5335B" w:rsidP="00F5335B">
      <w:pPr>
        <w:numPr>
          <w:ilvl w:val="0"/>
          <w:numId w:val="22"/>
        </w:numPr>
        <w:spacing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445DFE">
        <w:rPr>
          <w:rFonts w:ascii="Times New Roman" w:eastAsia="Times New Roman" w:hAnsi="Times New Roman" w:cs="Times New Roman"/>
          <w:szCs w:val="24"/>
        </w:rPr>
        <w:t>Expertise in mixed-methods research and impact evaluation</w:t>
      </w:r>
    </w:p>
    <w:p w14:paraId="5F73177C" w14:textId="77777777" w:rsidR="00F5335B" w:rsidRPr="00F5335B" w:rsidRDefault="00F5335B" w:rsidP="00643EBC">
      <w:pPr>
        <w:shd w:val="clear" w:color="auto" w:fill="DBE5F1" w:themeFill="accent1" w:themeFillTint="33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643EBC">
        <w:rPr>
          <w:rFonts w:ascii="Times New Roman" w:eastAsia="Times New Roman" w:hAnsi="Times New Roman" w:cs="Times New Roman"/>
          <w:b/>
          <w:bCs/>
          <w:sz w:val="28"/>
          <w:szCs w:val="36"/>
        </w:rPr>
        <w:t>Ethical Considerations</w:t>
      </w:r>
    </w:p>
    <w:p w14:paraId="5D58DAAB" w14:textId="77777777" w:rsidR="00F5335B" w:rsidRPr="00F5335B" w:rsidRDefault="00F5335B" w:rsidP="00F5335B">
      <w:pPr>
        <w:numPr>
          <w:ilvl w:val="0"/>
          <w:numId w:val="24"/>
        </w:numPr>
        <w:spacing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F5335B">
        <w:rPr>
          <w:rFonts w:ascii="Times New Roman" w:eastAsia="Times New Roman" w:hAnsi="Times New Roman" w:cs="Times New Roman"/>
          <w:szCs w:val="24"/>
        </w:rPr>
        <w:t>Informed consent from all participants</w:t>
      </w:r>
    </w:p>
    <w:p w14:paraId="34C9BE2B" w14:textId="77777777" w:rsidR="00F5335B" w:rsidRPr="00F5335B" w:rsidRDefault="00F5335B" w:rsidP="00F5335B">
      <w:pPr>
        <w:numPr>
          <w:ilvl w:val="0"/>
          <w:numId w:val="24"/>
        </w:numPr>
        <w:spacing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F5335B">
        <w:rPr>
          <w:rFonts w:ascii="Times New Roman" w:eastAsia="Times New Roman" w:hAnsi="Times New Roman" w:cs="Times New Roman"/>
          <w:szCs w:val="24"/>
        </w:rPr>
        <w:t>Confidentiality and data protection protocols</w:t>
      </w:r>
    </w:p>
    <w:p w14:paraId="3A914E9D" w14:textId="77777777" w:rsidR="00F5335B" w:rsidRPr="00F5335B" w:rsidRDefault="00F5335B" w:rsidP="00F5335B">
      <w:pPr>
        <w:numPr>
          <w:ilvl w:val="0"/>
          <w:numId w:val="24"/>
        </w:numPr>
        <w:spacing w:after="100" w:afterAutospacing="1" w:line="240" w:lineRule="auto"/>
        <w:rPr>
          <w:rFonts w:ascii="Times New Roman" w:eastAsia="Times New Roman" w:hAnsi="Times New Roman" w:cs="Times New Roman"/>
          <w:szCs w:val="24"/>
        </w:rPr>
      </w:pPr>
      <w:r w:rsidRPr="00F5335B">
        <w:rPr>
          <w:rFonts w:ascii="Times New Roman" w:eastAsia="Times New Roman" w:hAnsi="Times New Roman" w:cs="Times New Roman"/>
          <w:szCs w:val="24"/>
        </w:rPr>
        <w:lastRenderedPageBreak/>
        <w:t>Adherence to ethical research standards</w:t>
      </w:r>
    </w:p>
    <w:p w14:paraId="7381B273" w14:textId="77777777" w:rsidR="00F5335B" w:rsidRPr="00F5335B" w:rsidRDefault="00F5335B" w:rsidP="00643EBC">
      <w:pPr>
        <w:shd w:val="clear" w:color="auto" w:fill="DBE5F1" w:themeFill="accent1" w:themeFillTint="33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643EBC">
        <w:rPr>
          <w:rFonts w:ascii="Times New Roman" w:eastAsia="Times New Roman" w:hAnsi="Times New Roman" w:cs="Times New Roman"/>
          <w:b/>
          <w:bCs/>
          <w:sz w:val="28"/>
          <w:szCs w:val="36"/>
        </w:rPr>
        <w:t>Governance and Reporting</w:t>
      </w:r>
    </w:p>
    <w:p w14:paraId="51A7E8AD" w14:textId="77777777" w:rsidR="00F5335B" w:rsidRPr="00F5335B" w:rsidRDefault="00F5335B" w:rsidP="00643EB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Cs w:val="24"/>
        </w:rPr>
      </w:pPr>
      <w:r w:rsidRPr="00F5335B">
        <w:rPr>
          <w:rFonts w:ascii="Times New Roman" w:eastAsia="Times New Roman" w:hAnsi="Times New Roman" w:cs="Times New Roman"/>
          <w:szCs w:val="24"/>
        </w:rPr>
        <w:t xml:space="preserve">The selected agency will report to PPHF and engage closely with </w:t>
      </w:r>
      <w:proofErr w:type="spellStart"/>
      <w:r w:rsidRPr="00F5335B">
        <w:rPr>
          <w:rFonts w:ascii="Times New Roman" w:eastAsia="Times New Roman" w:hAnsi="Times New Roman" w:cs="Times New Roman"/>
          <w:szCs w:val="24"/>
        </w:rPr>
        <w:t>programme</w:t>
      </w:r>
      <w:proofErr w:type="spellEnd"/>
      <w:r w:rsidRPr="00F5335B">
        <w:rPr>
          <w:rFonts w:ascii="Times New Roman" w:eastAsia="Times New Roman" w:hAnsi="Times New Roman" w:cs="Times New Roman"/>
          <w:szCs w:val="24"/>
        </w:rPr>
        <w:t xml:space="preserve"> stakeholders. Periodic review meetings will be conducted to ensure quality, alignment, and timely delivery.</w:t>
      </w:r>
    </w:p>
    <w:p w14:paraId="31961B47" w14:textId="77777777" w:rsidR="00F5335B" w:rsidRPr="00F5335B" w:rsidRDefault="00F5335B" w:rsidP="00643EBC">
      <w:pPr>
        <w:shd w:val="clear" w:color="auto" w:fill="DBE5F1" w:themeFill="accent1" w:themeFillTint="33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643EBC">
        <w:rPr>
          <w:rFonts w:ascii="Times New Roman" w:eastAsia="Times New Roman" w:hAnsi="Times New Roman" w:cs="Times New Roman"/>
          <w:b/>
          <w:bCs/>
          <w:sz w:val="28"/>
          <w:szCs w:val="36"/>
        </w:rPr>
        <w:t>Proposal Submission Requirements</w:t>
      </w:r>
    </w:p>
    <w:p w14:paraId="66A131E1" w14:textId="77777777" w:rsidR="00F5335B" w:rsidRPr="00F5335B" w:rsidRDefault="00F5335B" w:rsidP="00F5335B">
      <w:pPr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F5335B">
        <w:rPr>
          <w:rFonts w:ascii="Times New Roman" w:eastAsia="Times New Roman" w:hAnsi="Times New Roman" w:cs="Times New Roman"/>
        </w:rPr>
        <w:t>Interested agencies are required to submit:</w:t>
      </w:r>
    </w:p>
    <w:p w14:paraId="510382B1" w14:textId="2C688F99" w:rsidR="00F5335B" w:rsidRPr="00F5335B" w:rsidRDefault="00F5335B" w:rsidP="00F5335B">
      <w:pPr>
        <w:numPr>
          <w:ilvl w:val="0"/>
          <w:numId w:val="25"/>
        </w:numPr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643EBC">
        <w:rPr>
          <w:rFonts w:ascii="Times New Roman" w:eastAsia="Times New Roman" w:hAnsi="Times New Roman" w:cs="Times New Roman"/>
          <w:b/>
          <w:bCs/>
        </w:rPr>
        <w:t>Technical</w:t>
      </w:r>
      <w:r w:rsidR="00460491">
        <w:rPr>
          <w:rFonts w:ascii="Times New Roman" w:eastAsia="Times New Roman" w:hAnsi="Times New Roman" w:cs="Times New Roman"/>
          <w:b/>
          <w:bCs/>
        </w:rPr>
        <w:t xml:space="preserve"> and Financial</w:t>
      </w:r>
      <w:r w:rsidRPr="00643EBC">
        <w:rPr>
          <w:rFonts w:ascii="Times New Roman" w:eastAsia="Times New Roman" w:hAnsi="Times New Roman" w:cs="Times New Roman"/>
          <w:b/>
          <w:bCs/>
        </w:rPr>
        <w:t xml:space="preserve"> Proposal</w:t>
      </w:r>
    </w:p>
    <w:p w14:paraId="0EB9A71B" w14:textId="77777777" w:rsidR="00F5335B" w:rsidRPr="00F5335B" w:rsidRDefault="00F5335B" w:rsidP="00F5335B">
      <w:pPr>
        <w:numPr>
          <w:ilvl w:val="1"/>
          <w:numId w:val="25"/>
        </w:numPr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F5335B">
        <w:rPr>
          <w:rFonts w:ascii="Times New Roman" w:eastAsia="Times New Roman" w:hAnsi="Times New Roman" w:cs="Times New Roman"/>
        </w:rPr>
        <w:t>Understanding of the assignment</w:t>
      </w:r>
    </w:p>
    <w:p w14:paraId="034C7261" w14:textId="77777777" w:rsidR="00F5335B" w:rsidRPr="00F5335B" w:rsidRDefault="00F5335B" w:rsidP="00F5335B">
      <w:pPr>
        <w:numPr>
          <w:ilvl w:val="1"/>
          <w:numId w:val="25"/>
        </w:numPr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F5335B">
        <w:rPr>
          <w:rFonts w:ascii="Times New Roman" w:eastAsia="Times New Roman" w:hAnsi="Times New Roman" w:cs="Times New Roman"/>
        </w:rPr>
        <w:t>Detailed methodology and approach</w:t>
      </w:r>
    </w:p>
    <w:p w14:paraId="041143EF" w14:textId="5CF482BD" w:rsidR="00F5335B" w:rsidRPr="00460491" w:rsidRDefault="00F5335B" w:rsidP="00460491">
      <w:pPr>
        <w:numPr>
          <w:ilvl w:val="1"/>
          <w:numId w:val="25"/>
        </w:numPr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F5335B">
        <w:rPr>
          <w:rFonts w:ascii="Times New Roman" w:eastAsia="Times New Roman" w:hAnsi="Times New Roman" w:cs="Times New Roman"/>
        </w:rPr>
        <w:t>Work plan and timelines</w:t>
      </w:r>
    </w:p>
    <w:p w14:paraId="2567C772" w14:textId="77777777" w:rsidR="00F5335B" w:rsidRPr="00F5335B" w:rsidRDefault="00DC0329" w:rsidP="00F5335B">
      <w:pPr>
        <w:numPr>
          <w:ilvl w:val="0"/>
          <w:numId w:val="25"/>
        </w:numPr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643EBC">
        <w:rPr>
          <w:rFonts w:ascii="Times New Roman" w:eastAsia="Times New Roman" w:hAnsi="Times New Roman" w:cs="Times New Roman"/>
          <w:b/>
          <w:bCs/>
        </w:rPr>
        <w:t>Organizational</w:t>
      </w:r>
      <w:r w:rsidR="00F5335B" w:rsidRPr="00643EBC">
        <w:rPr>
          <w:rFonts w:ascii="Times New Roman" w:eastAsia="Times New Roman" w:hAnsi="Times New Roman" w:cs="Times New Roman"/>
          <w:b/>
          <w:bCs/>
        </w:rPr>
        <w:t xml:space="preserve"> Profile</w:t>
      </w:r>
    </w:p>
    <w:p w14:paraId="6D094515" w14:textId="77777777" w:rsidR="00F5335B" w:rsidRPr="00F5335B" w:rsidRDefault="00F5335B" w:rsidP="00F5335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7AC19D6" w14:textId="77777777" w:rsidR="00F5335B" w:rsidRPr="00F5335B" w:rsidRDefault="00F5335B" w:rsidP="00643EBC">
      <w:pPr>
        <w:shd w:val="clear" w:color="auto" w:fill="DBE5F1" w:themeFill="accent1" w:themeFillTint="33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</w:rPr>
      </w:pPr>
      <w:r w:rsidRPr="00643EBC">
        <w:rPr>
          <w:rFonts w:ascii="Times New Roman" w:eastAsia="Times New Roman" w:hAnsi="Times New Roman" w:cs="Times New Roman"/>
          <w:b/>
          <w:bCs/>
          <w:sz w:val="28"/>
        </w:rPr>
        <w:t>Payment Terms</w:t>
      </w:r>
    </w:p>
    <w:p w14:paraId="4067ED1A" w14:textId="77777777" w:rsidR="00F5335B" w:rsidRPr="00F5335B" w:rsidRDefault="00F5335B" w:rsidP="00F5335B">
      <w:pPr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F5335B">
        <w:rPr>
          <w:rFonts w:ascii="Times New Roman" w:eastAsia="Times New Roman" w:hAnsi="Times New Roman" w:cs="Times New Roman"/>
        </w:rPr>
        <w:t>Payments will be linked to key deliverables, typically:</w:t>
      </w:r>
    </w:p>
    <w:p w14:paraId="6DFFC76C" w14:textId="73659C83" w:rsidR="00F5335B" w:rsidRPr="00F5335B" w:rsidRDefault="00460491" w:rsidP="00F5335B">
      <w:pPr>
        <w:numPr>
          <w:ilvl w:val="0"/>
          <w:numId w:val="27"/>
        </w:numPr>
        <w:spacing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50 % before </w:t>
      </w:r>
      <w:r w:rsidR="00F5335B" w:rsidRPr="00F5335B">
        <w:rPr>
          <w:rFonts w:ascii="Times New Roman" w:eastAsia="Times New Roman" w:hAnsi="Times New Roman" w:cs="Times New Roman"/>
        </w:rPr>
        <w:t>Inception Report approval</w:t>
      </w:r>
    </w:p>
    <w:p w14:paraId="0892774B" w14:textId="30B2C567" w:rsidR="00F5335B" w:rsidRPr="00F5335B" w:rsidRDefault="00460491" w:rsidP="00F5335B">
      <w:pPr>
        <w:numPr>
          <w:ilvl w:val="0"/>
          <w:numId w:val="27"/>
        </w:numPr>
        <w:spacing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30 % </w:t>
      </w:r>
      <w:r w:rsidR="00F5335B" w:rsidRPr="00F5335B">
        <w:rPr>
          <w:rFonts w:ascii="Times New Roman" w:eastAsia="Times New Roman" w:hAnsi="Times New Roman" w:cs="Times New Roman"/>
        </w:rPr>
        <w:t>Submission of Draft Report</w:t>
      </w:r>
    </w:p>
    <w:p w14:paraId="75F731DD" w14:textId="0753EB31" w:rsidR="00F5335B" w:rsidRPr="00F5335B" w:rsidRDefault="00460491" w:rsidP="00F5335B">
      <w:pPr>
        <w:numPr>
          <w:ilvl w:val="0"/>
          <w:numId w:val="27"/>
        </w:numPr>
        <w:spacing w:after="100" w:afterAutospacing="1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20% </w:t>
      </w:r>
      <w:r w:rsidR="00F5335B" w:rsidRPr="00F5335B">
        <w:rPr>
          <w:rFonts w:ascii="Times New Roman" w:eastAsia="Times New Roman" w:hAnsi="Times New Roman" w:cs="Times New Roman"/>
        </w:rPr>
        <w:t xml:space="preserve">Final Report </w:t>
      </w:r>
    </w:p>
    <w:p w14:paraId="2740DF47" w14:textId="77777777" w:rsidR="00F5335B" w:rsidRDefault="00F5335B"/>
    <w:sectPr w:rsidR="00F53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26DA"/>
    <w:multiLevelType w:val="multilevel"/>
    <w:tmpl w:val="7010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61495"/>
    <w:multiLevelType w:val="multilevel"/>
    <w:tmpl w:val="A88EF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A11BB"/>
    <w:multiLevelType w:val="multilevel"/>
    <w:tmpl w:val="AB3E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C337E"/>
    <w:multiLevelType w:val="hybridMultilevel"/>
    <w:tmpl w:val="D1C63808"/>
    <w:lvl w:ilvl="0" w:tplc="07EEB1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9594A"/>
    <w:multiLevelType w:val="multilevel"/>
    <w:tmpl w:val="4FF25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E5572B"/>
    <w:multiLevelType w:val="multilevel"/>
    <w:tmpl w:val="99FA9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F21682"/>
    <w:multiLevelType w:val="multilevel"/>
    <w:tmpl w:val="4CC2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0A4A31"/>
    <w:multiLevelType w:val="multilevel"/>
    <w:tmpl w:val="1F961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FF28E7"/>
    <w:multiLevelType w:val="multilevel"/>
    <w:tmpl w:val="C68E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714735"/>
    <w:multiLevelType w:val="multilevel"/>
    <w:tmpl w:val="EC28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C666A1"/>
    <w:multiLevelType w:val="multilevel"/>
    <w:tmpl w:val="EB1A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56DD1"/>
    <w:multiLevelType w:val="multilevel"/>
    <w:tmpl w:val="5590E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1E29F7"/>
    <w:multiLevelType w:val="multilevel"/>
    <w:tmpl w:val="4100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BF43E8"/>
    <w:multiLevelType w:val="multilevel"/>
    <w:tmpl w:val="BA725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D02BC9"/>
    <w:multiLevelType w:val="multilevel"/>
    <w:tmpl w:val="FEB4D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F67309"/>
    <w:multiLevelType w:val="multilevel"/>
    <w:tmpl w:val="E344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4A7023"/>
    <w:multiLevelType w:val="multilevel"/>
    <w:tmpl w:val="2DE406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7D4259"/>
    <w:multiLevelType w:val="multilevel"/>
    <w:tmpl w:val="24D20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625CC7"/>
    <w:multiLevelType w:val="multilevel"/>
    <w:tmpl w:val="ED0C8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D561DD"/>
    <w:multiLevelType w:val="multilevel"/>
    <w:tmpl w:val="44B64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6A02AE"/>
    <w:multiLevelType w:val="multilevel"/>
    <w:tmpl w:val="D804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C7653E"/>
    <w:multiLevelType w:val="multilevel"/>
    <w:tmpl w:val="AF04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5C0ADC"/>
    <w:multiLevelType w:val="multilevel"/>
    <w:tmpl w:val="B27C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BF851B7"/>
    <w:multiLevelType w:val="multilevel"/>
    <w:tmpl w:val="556A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514B82"/>
    <w:multiLevelType w:val="multilevel"/>
    <w:tmpl w:val="F132C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695781"/>
    <w:multiLevelType w:val="multilevel"/>
    <w:tmpl w:val="561C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A965A1"/>
    <w:multiLevelType w:val="multilevel"/>
    <w:tmpl w:val="5EF0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005EC1"/>
    <w:multiLevelType w:val="multilevel"/>
    <w:tmpl w:val="AEAE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D63F27"/>
    <w:multiLevelType w:val="hybridMultilevel"/>
    <w:tmpl w:val="0026F4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C8669E"/>
    <w:multiLevelType w:val="multilevel"/>
    <w:tmpl w:val="FB96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729231">
    <w:abstractNumId w:val="1"/>
  </w:num>
  <w:num w:numId="2" w16cid:durableId="72434517">
    <w:abstractNumId w:val="4"/>
  </w:num>
  <w:num w:numId="3" w16cid:durableId="1186139116">
    <w:abstractNumId w:val="13"/>
  </w:num>
  <w:num w:numId="4" w16cid:durableId="213808375">
    <w:abstractNumId w:val="12"/>
  </w:num>
  <w:num w:numId="5" w16cid:durableId="3480235">
    <w:abstractNumId w:val="17"/>
  </w:num>
  <w:num w:numId="6" w16cid:durableId="428359148">
    <w:abstractNumId w:val="10"/>
  </w:num>
  <w:num w:numId="7" w16cid:durableId="608780971">
    <w:abstractNumId w:val="21"/>
  </w:num>
  <w:num w:numId="8" w16cid:durableId="602957945">
    <w:abstractNumId w:val="16"/>
  </w:num>
  <w:num w:numId="9" w16cid:durableId="1851599344">
    <w:abstractNumId w:val="2"/>
  </w:num>
  <w:num w:numId="10" w16cid:durableId="1780562691">
    <w:abstractNumId w:val="8"/>
  </w:num>
  <w:num w:numId="11" w16cid:durableId="1509061844">
    <w:abstractNumId w:val="19"/>
  </w:num>
  <w:num w:numId="12" w16cid:durableId="1819490378">
    <w:abstractNumId w:val="14"/>
  </w:num>
  <w:num w:numId="13" w16cid:durableId="1932657501">
    <w:abstractNumId w:val="23"/>
  </w:num>
  <w:num w:numId="14" w16cid:durableId="1486163360">
    <w:abstractNumId w:val="22"/>
  </w:num>
  <w:num w:numId="15" w16cid:durableId="1083067642">
    <w:abstractNumId w:val="6"/>
  </w:num>
  <w:num w:numId="16" w16cid:durableId="416093383">
    <w:abstractNumId w:val="26"/>
  </w:num>
  <w:num w:numId="17" w16cid:durableId="964504106">
    <w:abstractNumId w:val="7"/>
  </w:num>
  <w:num w:numId="18" w16cid:durableId="976910455">
    <w:abstractNumId w:val="25"/>
  </w:num>
  <w:num w:numId="19" w16cid:durableId="472141864">
    <w:abstractNumId w:val="5"/>
  </w:num>
  <w:num w:numId="20" w16cid:durableId="1936595378">
    <w:abstractNumId w:val="29"/>
  </w:num>
  <w:num w:numId="21" w16cid:durableId="303049621">
    <w:abstractNumId w:val="20"/>
  </w:num>
  <w:num w:numId="22" w16cid:durableId="1982036398">
    <w:abstractNumId w:val="9"/>
  </w:num>
  <w:num w:numId="23" w16cid:durableId="662665691">
    <w:abstractNumId w:val="15"/>
  </w:num>
  <w:num w:numId="24" w16cid:durableId="1869174754">
    <w:abstractNumId w:val="11"/>
  </w:num>
  <w:num w:numId="25" w16cid:durableId="531919114">
    <w:abstractNumId w:val="0"/>
  </w:num>
  <w:num w:numId="26" w16cid:durableId="1311864786">
    <w:abstractNumId w:val="24"/>
  </w:num>
  <w:num w:numId="27" w16cid:durableId="1217617986">
    <w:abstractNumId w:val="27"/>
  </w:num>
  <w:num w:numId="28" w16cid:durableId="861435077">
    <w:abstractNumId w:val="18"/>
  </w:num>
  <w:num w:numId="29" w16cid:durableId="1066996717">
    <w:abstractNumId w:val="28"/>
  </w:num>
  <w:num w:numId="30" w16cid:durableId="6716812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35B"/>
    <w:rsid w:val="00445DFE"/>
    <w:rsid w:val="00460491"/>
    <w:rsid w:val="00643EBC"/>
    <w:rsid w:val="00705664"/>
    <w:rsid w:val="008C070E"/>
    <w:rsid w:val="008D3FEC"/>
    <w:rsid w:val="00BE6276"/>
    <w:rsid w:val="00DC0329"/>
    <w:rsid w:val="00F5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07958"/>
  <w15:docId w15:val="{ECBFD8B6-DF91-41E7-9AB0-8455DD34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33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533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53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3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5335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533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53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335B"/>
    <w:rPr>
      <w:b/>
      <w:bCs/>
    </w:rPr>
  </w:style>
  <w:style w:type="character" w:styleId="Emphasis">
    <w:name w:val="Emphasis"/>
    <w:basedOn w:val="DefaultParagraphFont"/>
    <w:uiPriority w:val="20"/>
    <w:qFormat/>
    <w:rsid w:val="00F5335B"/>
    <w:rPr>
      <w:i/>
      <w:iCs/>
    </w:rPr>
  </w:style>
  <w:style w:type="paragraph" w:styleId="ListParagraph">
    <w:name w:val="List Paragraph"/>
    <w:basedOn w:val="Normal"/>
    <w:uiPriority w:val="34"/>
    <w:qFormat/>
    <w:rsid w:val="00F5335B"/>
    <w:pPr>
      <w:ind w:left="720"/>
      <w:contextualSpacing/>
    </w:pPr>
  </w:style>
  <w:style w:type="table" w:styleId="TableGrid">
    <w:name w:val="Table Grid"/>
    <w:basedOn w:val="TableNormal"/>
    <w:uiPriority w:val="59"/>
    <w:rsid w:val="00643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324FD-2EF1-455C-A731-212E8B921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Shashank Dwivedi</cp:lastModifiedBy>
  <cp:revision>4</cp:revision>
  <dcterms:created xsi:type="dcterms:W3CDTF">2026-05-04T07:11:00Z</dcterms:created>
  <dcterms:modified xsi:type="dcterms:W3CDTF">2026-06-09T13:10:00Z</dcterms:modified>
</cp:coreProperties>
</file>